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9F" w:rsidRDefault="0018649F" w:rsidP="0018649F">
      <w:pPr>
        <w:snapToGrid w:val="0"/>
        <w:ind w:right="28"/>
        <w:jc w:val="center"/>
        <w:rPr>
          <w:rFonts w:eastAsia="標楷體"/>
          <w:b/>
          <w:bCs/>
          <w:szCs w:val="28"/>
        </w:rPr>
      </w:pPr>
      <w:r>
        <w:rPr>
          <w:rFonts w:eastAsia="標楷體" w:hint="eastAsia"/>
          <w:b/>
          <w:bCs/>
          <w:szCs w:val="28"/>
        </w:rPr>
        <w:t>國立臺東大學師範學院休閒事業管理碩士在職專班</w:t>
      </w:r>
    </w:p>
    <w:p w:rsidR="0018649F" w:rsidRDefault="0018649F" w:rsidP="0018649F">
      <w:pPr>
        <w:snapToGrid w:val="0"/>
        <w:ind w:right="28"/>
        <w:jc w:val="center"/>
        <w:rPr>
          <w:rFonts w:eastAsia="標楷體"/>
          <w:b/>
          <w:bCs/>
          <w:szCs w:val="28"/>
        </w:rPr>
      </w:pPr>
      <w:r>
        <w:rPr>
          <w:rFonts w:eastAsia="標楷體"/>
          <w:b/>
          <w:bCs/>
          <w:szCs w:val="28"/>
        </w:rPr>
        <w:t>10</w:t>
      </w:r>
      <w:r w:rsidR="005074BB">
        <w:rPr>
          <w:rFonts w:eastAsia="標楷體" w:hint="eastAsia"/>
          <w:b/>
          <w:bCs/>
          <w:szCs w:val="28"/>
        </w:rPr>
        <w:t>5</w:t>
      </w:r>
      <w:r>
        <w:rPr>
          <w:rFonts w:eastAsia="標楷體" w:hint="eastAsia"/>
          <w:b/>
          <w:bCs/>
          <w:szCs w:val="28"/>
        </w:rPr>
        <w:t>學年度入學課程大綱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sz w:val="12"/>
          <w:szCs w:val="16"/>
        </w:rPr>
        <w:t>101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次師範學院休閒事業管理碩士專班審議委員會</w:t>
      </w:r>
      <w:r>
        <w:rPr>
          <w:sz w:val="12"/>
          <w:szCs w:val="16"/>
        </w:rPr>
        <w:t>(101.8.14)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sz w:val="12"/>
          <w:szCs w:val="16"/>
        </w:rPr>
        <w:t>101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次院課程暨院務會議</w:t>
      </w:r>
      <w:r>
        <w:rPr>
          <w:sz w:val="12"/>
          <w:szCs w:val="16"/>
        </w:rPr>
        <w:t>(101.8.30)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sz w:val="12"/>
          <w:szCs w:val="16"/>
        </w:rPr>
        <w:t>101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2</w:t>
      </w:r>
      <w:r>
        <w:rPr>
          <w:rFonts w:hint="eastAsia"/>
          <w:sz w:val="12"/>
          <w:szCs w:val="16"/>
        </w:rPr>
        <w:t>次師範學院休閒事業管理碩士專班審議委員會</w:t>
      </w:r>
      <w:r>
        <w:rPr>
          <w:sz w:val="12"/>
          <w:szCs w:val="16"/>
        </w:rPr>
        <w:t>(102.1.11)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rFonts w:hint="eastAsia"/>
          <w:sz w:val="12"/>
          <w:szCs w:val="16"/>
        </w:rPr>
        <w:t>師範學院臨時院課程暨院務會議</w:t>
      </w:r>
      <w:r>
        <w:rPr>
          <w:sz w:val="12"/>
          <w:szCs w:val="16"/>
        </w:rPr>
        <w:t>(103.5.30)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rFonts w:hint="eastAsia"/>
          <w:sz w:val="12"/>
          <w:szCs w:val="16"/>
        </w:rPr>
        <w:t>國立臺東大學</w:t>
      </w:r>
      <w:r>
        <w:rPr>
          <w:sz w:val="12"/>
          <w:szCs w:val="16"/>
        </w:rPr>
        <w:t>102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2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2</w:t>
      </w:r>
      <w:r>
        <w:rPr>
          <w:rFonts w:hint="eastAsia"/>
          <w:sz w:val="12"/>
          <w:szCs w:val="16"/>
        </w:rPr>
        <w:t>次校課程會議</w:t>
      </w:r>
      <w:r>
        <w:rPr>
          <w:sz w:val="12"/>
          <w:szCs w:val="16"/>
        </w:rPr>
        <w:t>(103.6.5)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sz w:val="12"/>
          <w:szCs w:val="16"/>
        </w:rPr>
        <w:t>103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次師範學院休閒事業管理碩士專班審議委員會</w:t>
      </w:r>
      <w:r>
        <w:rPr>
          <w:sz w:val="12"/>
          <w:szCs w:val="16"/>
        </w:rPr>
        <w:t>(103.8.21)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sz w:val="12"/>
          <w:szCs w:val="16"/>
        </w:rPr>
        <w:t>103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2</w:t>
      </w:r>
      <w:r>
        <w:rPr>
          <w:rFonts w:hint="eastAsia"/>
          <w:sz w:val="12"/>
          <w:szCs w:val="16"/>
        </w:rPr>
        <w:t>次師範學院休閒事業管理碩士專班審議委員會</w:t>
      </w:r>
      <w:r>
        <w:rPr>
          <w:sz w:val="12"/>
          <w:szCs w:val="16"/>
        </w:rPr>
        <w:t>(103.9.10)</w:t>
      </w:r>
    </w:p>
    <w:p w:rsidR="0018649F" w:rsidRDefault="0018649F" w:rsidP="0018649F">
      <w:pPr>
        <w:snapToGrid w:val="0"/>
        <w:jc w:val="right"/>
        <w:rPr>
          <w:rFonts w:cs="Calibri"/>
          <w:sz w:val="12"/>
          <w:szCs w:val="16"/>
        </w:rPr>
      </w:pPr>
      <w:r>
        <w:rPr>
          <w:rFonts w:cs="Calibri"/>
          <w:sz w:val="12"/>
          <w:szCs w:val="16"/>
        </w:rPr>
        <w:t>103</w:t>
      </w:r>
      <w:r>
        <w:rPr>
          <w:rFonts w:cs="Calibri" w:hint="eastAsia"/>
          <w:sz w:val="12"/>
          <w:szCs w:val="16"/>
        </w:rPr>
        <w:t>學年度第</w:t>
      </w:r>
      <w:r>
        <w:rPr>
          <w:rFonts w:cs="Calibri"/>
          <w:sz w:val="12"/>
          <w:szCs w:val="16"/>
        </w:rPr>
        <w:t>1</w:t>
      </w:r>
      <w:r>
        <w:rPr>
          <w:rFonts w:cs="Calibri" w:hint="eastAsia"/>
          <w:sz w:val="12"/>
          <w:szCs w:val="16"/>
        </w:rPr>
        <w:t>學期第</w:t>
      </w:r>
      <w:r>
        <w:rPr>
          <w:rFonts w:cs="Calibri"/>
          <w:sz w:val="12"/>
          <w:szCs w:val="16"/>
        </w:rPr>
        <w:t>1</w:t>
      </w:r>
      <w:r>
        <w:rPr>
          <w:rFonts w:cs="Calibri" w:hint="eastAsia"/>
          <w:sz w:val="12"/>
          <w:szCs w:val="16"/>
        </w:rPr>
        <w:t>次師範學院院課程暨院務會議</w:t>
      </w:r>
      <w:r>
        <w:rPr>
          <w:rFonts w:cs="Calibri"/>
          <w:sz w:val="12"/>
          <w:szCs w:val="16"/>
        </w:rPr>
        <w:t>(103.9.23)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rFonts w:hint="eastAsia"/>
          <w:sz w:val="12"/>
          <w:szCs w:val="16"/>
        </w:rPr>
        <w:t>國立臺東大學</w:t>
      </w:r>
      <w:r>
        <w:rPr>
          <w:sz w:val="12"/>
          <w:szCs w:val="16"/>
        </w:rPr>
        <w:t>103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次校課程會議</w:t>
      </w:r>
      <w:r>
        <w:rPr>
          <w:sz w:val="12"/>
          <w:szCs w:val="16"/>
        </w:rPr>
        <w:t>(103.11.06)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>
        <w:rPr>
          <w:sz w:val="12"/>
          <w:szCs w:val="16"/>
        </w:rPr>
        <w:t>104</w:t>
      </w:r>
      <w:r>
        <w:rPr>
          <w:rFonts w:hint="eastAsia"/>
          <w:sz w:val="12"/>
          <w:szCs w:val="16"/>
        </w:rPr>
        <w:t>學年度第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學期第</w:t>
      </w:r>
      <w:r>
        <w:rPr>
          <w:sz w:val="12"/>
          <w:szCs w:val="16"/>
        </w:rPr>
        <w:t>1</w:t>
      </w:r>
      <w:r>
        <w:rPr>
          <w:rFonts w:hint="eastAsia"/>
          <w:sz w:val="12"/>
          <w:szCs w:val="16"/>
        </w:rPr>
        <w:t>次師範學院休閒事業管理碩士專班審議委員會</w:t>
      </w:r>
      <w:r>
        <w:rPr>
          <w:sz w:val="12"/>
          <w:szCs w:val="16"/>
        </w:rPr>
        <w:t>(104.8.25)</w:t>
      </w:r>
    </w:p>
    <w:p w:rsidR="0018649F" w:rsidRDefault="0018649F" w:rsidP="0018649F">
      <w:pPr>
        <w:snapToGrid w:val="0"/>
        <w:jc w:val="right"/>
        <w:rPr>
          <w:sz w:val="12"/>
          <w:szCs w:val="16"/>
        </w:rPr>
      </w:pPr>
      <w:r w:rsidRPr="0018649F">
        <w:rPr>
          <w:rFonts w:hint="eastAsia"/>
          <w:sz w:val="12"/>
          <w:szCs w:val="16"/>
        </w:rPr>
        <w:t>104</w:t>
      </w:r>
      <w:r w:rsidRPr="0018649F">
        <w:rPr>
          <w:rFonts w:hint="eastAsia"/>
          <w:sz w:val="12"/>
          <w:szCs w:val="16"/>
        </w:rPr>
        <w:t>學年度第</w:t>
      </w:r>
      <w:r w:rsidRPr="0018649F">
        <w:rPr>
          <w:rFonts w:hint="eastAsia"/>
          <w:sz w:val="12"/>
          <w:szCs w:val="16"/>
        </w:rPr>
        <w:t>1</w:t>
      </w:r>
      <w:r w:rsidRPr="0018649F">
        <w:rPr>
          <w:rFonts w:hint="eastAsia"/>
          <w:sz w:val="12"/>
          <w:szCs w:val="16"/>
        </w:rPr>
        <w:t>學期第</w:t>
      </w:r>
      <w:r w:rsidRPr="0018649F">
        <w:rPr>
          <w:rFonts w:hint="eastAsia"/>
          <w:sz w:val="12"/>
          <w:szCs w:val="16"/>
        </w:rPr>
        <w:t>1</w:t>
      </w:r>
      <w:r w:rsidRPr="0018649F">
        <w:rPr>
          <w:rFonts w:hint="eastAsia"/>
          <w:sz w:val="12"/>
          <w:szCs w:val="16"/>
        </w:rPr>
        <w:t>次院</w:t>
      </w:r>
      <w:r>
        <w:rPr>
          <w:rFonts w:hint="eastAsia"/>
          <w:sz w:val="12"/>
          <w:szCs w:val="16"/>
        </w:rPr>
        <w:t>課程暨院務會議</w:t>
      </w:r>
      <w:r>
        <w:rPr>
          <w:rFonts w:hint="eastAsia"/>
          <w:sz w:val="12"/>
          <w:szCs w:val="16"/>
        </w:rPr>
        <w:t>(104.11.25)</w:t>
      </w:r>
    </w:p>
    <w:p w:rsidR="0018649F" w:rsidRDefault="0018649F" w:rsidP="004A634E">
      <w:pPr>
        <w:snapToGrid w:val="0"/>
        <w:ind w:left="480" w:right="5"/>
        <w:jc w:val="right"/>
        <w:rPr>
          <w:rFonts w:cs="Calibri"/>
          <w:sz w:val="12"/>
          <w:szCs w:val="16"/>
        </w:rPr>
      </w:pPr>
      <w:r w:rsidRPr="0018649F">
        <w:rPr>
          <w:rFonts w:cs="Calibri" w:hint="eastAsia"/>
          <w:sz w:val="12"/>
          <w:szCs w:val="16"/>
        </w:rPr>
        <w:t>國立臺東大學</w:t>
      </w:r>
      <w:r w:rsidRPr="0018649F">
        <w:rPr>
          <w:rFonts w:cs="Calibri" w:hint="eastAsia"/>
          <w:sz w:val="12"/>
          <w:szCs w:val="16"/>
        </w:rPr>
        <w:t>104</w:t>
      </w:r>
      <w:r w:rsidRPr="0018649F">
        <w:rPr>
          <w:rFonts w:cs="Calibri" w:hint="eastAsia"/>
          <w:sz w:val="12"/>
          <w:szCs w:val="16"/>
        </w:rPr>
        <w:t>學年度第</w:t>
      </w:r>
      <w:r w:rsidR="004A634E">
        <w:rPr>
          <w:rFonts w:cs="Calibri" w:hint="eastAsia"/>
          <w:sz w:val="12"/>
          <w:szCs w:val="16"/>
        </w:rPr>
        <w:t>2</w:t>
      </w:r>
      <w:r w:rsidRPr="0018649F">
        <w:rPr>
          <w:rFonts w:cs="Calibri" w:hint="eastAsia"/>
          <w:sz w:val="12"/>
          <w:szCs w:val="16"/>
        </w:rPr>
        <w:t>學期第</w:t>
      </w:r>
      <w:r w:rsidR="004A634E">
        <w:rPr>
          <w:rFonts w:cs="Calibri" w:hint="eastAsia"/>
          <w:sz w:val="12"/>
          <w:szCs w:val="16"/>
        </w:rPr>
        <w:t>1</w:t>
      </w:r>
      <w:r>
        <w:rPr>
          <w:rFonts w:cs="Calibri" w:hint="eastAsia"/>
          <w:sz w:val="12"/>
          <w:szCs w:val="16"/>
        </w:rPr>
        <w:t>次校課程會議</w:t>
      </w:r>
      <w:r w:rsidR="004A634E">
        <w:rPr>
          <w:rFonts w:cs="Calibri" w:hint="eastAsia"/>
          <w:sz w:val="12"/>
          <w:szCs w:val="16"/>
        </w:rPr>
        <w:t>(105.04.14</w:t>
      </w:r>
      <w:r>
        <w:rPr>
          <w:rFonts w:cs="Calibri" w:hint="eastAsia"/>
          <w:sz w:val="12"/>
          <w:szCs w:val="16"/>
        </w:rPr>
        <w:t>)</w:t>
      </w:r>
    </w:p>
    <w:p w:rsidR="00436591" w:rsidRPr="00202D7B" w:rsidRDefault="00436591" w:rsidP="004A634E">
      <w:pPr>
        <w:snapToGrid w:val="0"/>
        <w:ind w:left="480" w:right="5"/>
        <w:jc w:val="right"/>
        <w:rPr>
          <w:rFonts w:cs="Calibri"/>
          <w:color w:val="FF0000"/>
          <w:sz w:val="12"/>
          <w:szCs w:val="16"/>
        </w:rPr>
      </w:pPr>
      <w:bookmarkStart w:id="0" w:name="_GoBack"/>
      <w:r w:rsidRPr="00202D7B">
        <w:rPr>
          <w:rFonts w:cs="Calibri" w:hint="eastAsia"/>
          <w:color w:val="FF0000"/>
          <w:sz w:val="12"/>
          <w:szCs w:val="16"/>
        </w:rPr>
        <w:t>105</w:t>
      </w:r>
      <w:r w:rsidRPr="00202D7B">
        <w:rPr>
          <w:rFonts w:cs="Calibri" w:hint="eastAsia"/>
          <w:color w:val="FF0000"/>
          <w:sz w:val="12"/>
          <w:szCs w:val="16"/>
        </w:rPr>
        <w:t>學年度第</w:t>
      </w:r>
      <w:r w:rsidRPr="00202D7B">
        <w:rPr>
          <w:rFonts w:cs="Calibri" w:hint="eastAsia"/>
          <w:color w:val="FF0000"/>
          <w:sz w:val="12"/>
          <w:szCs w:val="16"/>
        </w:rPr>
        <w:t>2</w:t>
      </w:r>
      <w:r w:rsidRPr="00202D7B">
        <w:rPr>
          <w:rFonts w:cs="Calibri" w:hint="eastAsia"/>
          <w:color w:val="FF0000"/>
          <w:sz w:val="12"/>
          <w:szCs w:val="16"/>
        </w:rPr>
        <w:t>學期第</w:t>
      </w:r>
      <w:r w:rsidRPr="00202D7B">
        <w:rPr>
          <w:rFonts w:cs="Calibri" w:hint="eastAsia"/>
          <w:color w:val="FF0000"/>
          <w:sz w:val="12"/>
          <w:szCs w:val="16"/>
        </w:rPr>
        <w:t>2</w:t>
      </w:r>
      <w:r w:rsidRPr="00202D7B">
        <w:rPr>
          <w:rFonts w:cs="Calibri" w:hint="eastAsia"/>
          <w:color w:val="FF0000"/>
          <w:sz w:val="12"/>
          <w:szCs w:val="16"/>
        </w:rPr>
        <w:t>次校課程會議修定</w:t>
      </w:r>
      <w:r w:rsidRPr="00202D7B">
        <w:rPr>
          <w:rFonts w:cs="Calibri" w:hint="eastAsia"/>
          <w:color w:val="FF0000"/>
          <w:sz w:val="12"/>
          <w:szCs w:val="16"/>
        </w:rPr>
        <w:t>(106.05.18)</w:t>
      </w:r>
    </w:p>
    <w:bookmarkEnd w:id="0"/>
    <w:p w:rsidR="0018649F" w:rsidRDefault="0018649F" w:rsidP="0018649F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rPr>
          <w:rFonts w:eastAsia="標楷體" w:cs="Calibri"/>
          <w:b/>
          <w:bCs/>
          <w:kern w:val="0"/>
          <w:sz w:val="22"/>
          <w:szCs w:val="22"/>
        </w:rPr>
      </w:pPr>
      <w:r>
        <w:rPr>
          <w:rFonts w:eastAsia="標楷體" w:cs="Calibri" w:hint="eastAsia"/>
          <w:b/>
          <w:bCs/>
          <w:kern w:val="0"/>
          <w:sz w:val="22"/>
        </w:rPr>
        <w:t>目標</w:t>
      </w:r>
    </w:p>
    <w:p w:rsidR="0018649F" w:rsidRDefault="0018649F" w:rsidP="0018649F">
      <w:pPr>
        <w:widowControl/>
        <w:tabs>
          <w:tab w:val="left" w:pos="4320"/>
        </w:tabs>
        <w:snapToGrid w:val="0"/>
        <w:ind w:left="480"/>
        <w:rPr>
          <w:rFonts w:eastAsia="標楷體" w:cs="Calibri"/>
          <w:kern w:val="0"/>
          <w:sz w:val="22"/>
          <w:shd w:val="pct15" w:color="auto" w:fill="FFFFFF"/>
        </w:rPr>
      </w:pPr>
      <w:r>
        <w:rPr>
          <w:rFonts w:eastAsia="標楷體" w:cs="Calibri"/>
          <w:kern w:val="0"/>
          <w:sz w:val="22"/>
          <w:shd w:val="pct15" w:color="auto" w:fill="FFFFFF"/>
        </w:rPr>
        <w:t>(</w:t>
      </w:r>
      <w:r>
        <w:rPr>
          <w:rFonts w:eastAsia="標楷體" w:cs="Calibri" w:hint="eastAsia"/>
          <w:kern w:val="0"/>
          <w:sz w:val="22"/>
          <w:shd w:val="pct15" w:color="auto" w:fill="FFFFFF"/>
        </w:rPr>
        <w:t>一</w:t>
      </w:r>
      <w:r>
        <w:rPr>
          <w:rFonts w:eastAsia="標楷體" w:cs="Calibri"/>
          <w:kern w:val="0"/>
          <w:sz w:val="22"/>
          <w:shd w:val="pct15" w:color="auto" w:fill="FFFFFF"/>
        </w:rPr>
        <w:t>)</w:t>
      </w:r>
      <w:r>
        <w:rPr>
          <w:rFonts w:eastAsia="標楷體" w:cs="Calibri" w:hint="eastAsia"/>
          <w:kern w:val="0"/>
          <w:sz w:val="22"/>
          <w:shd w:val="pct15" w:color="auto" w:fill="FFFFFF"/>
        </w:rPr>
        <w:t>鼓勵在職進修，強化研究知能。</w:t>
      </w:r>
    </w:p>
    <w:p w:rsidR="0018649F" w:rsidRDefault="0018649F" w:rsidP="0018649F">
      <w:pPr>
        <w:widowControl/>
        <w:tabs>
          <w:tab w:val="left" w:pos="4320"/>
        </w:tabs>
        <w:snapToGrid w:val="0"/>
        <w:ind w:left="480"/>
        <w:rPr>
          <w:rFonts w:eastAsia="標楷體" w:cs="Calibri"/>
          <w:kern w:val="0"/>
          <w:sz w:val="22"/>
          <w:shd w:val="pct15" w:color="auto" w:fill="FFFFFF"/>
        </w:rPr>
      </w:pPr>
      <w:r>
        <w:rPr>
          <w:rFonts w:eastAsia="標楷體" w:cs="Calibri"/>
          <w:kern w:val="0"/>
          <w:sz w:val="22"/>
          <w:shd w:val="pct15" w:color="auto" w:fill="FFFFFF"/>
        </w:rPr>
        <w:t>(</w:t>
      </w:r>
      <w:r>
        <w:rPr>
          <w:rFonts w:eastAsia="標楷體" w:cs="Calibri" w:hint="eastAsia"/>
          <w:kern w:val="0"/>
          <w:sz w:val="22"/>
          <w:shd w:val="pct15" w:color="auto" w:fill="FFFFFF"/>
        </w:rPr>
        <w:t>二</w:t>
      </w:r>
      <w:r>
        <w:rPr>
          <w:rFonts w:eastAsia="標楷體" w:cs="Calibri"/>
          <w:kern w:val="0"/>
          <w:sz w:val="22"/>
          <w:shd w:val="pct15" w:color="auto" w:fill="FFFFFF"/>
        </w:rPr>
        <w:t>)</w:t>
      </w:r>
      <w:r>
        <w:rPr>
          <w:rFonts w:eastAsia="標楷體" w:cs="Calibri" w:hint="eastAsia"/>
          <w:kern w:val="0"/>
          <w:sz w:val="22"/>
          <w:shd w:val="pct15" w:color="auto" w:fill="FFFFFF"/>
        </w:rPr>
        <w:t>培養學生具有休閒產業管理專業知能。</w:t>
      </w:r>
    </w:p>
    <w:p w:rsidR="0018649F" w:rsidRDefault="0018649F" w:rsidP="0018649F">
      <w:pPr>
        <w:widowControl/>
        <w:tabs>
          <w:tab w:val="left" w:pos="4320"/>
        </w:tabs>
        <w:snapToGrid w:val="0"/>
        <w:ind w:left="480"/>
        <w:rPr>
          <w:rFonts w:eastAsia="標楷體" w:cs="Calibri"/>
          <w:kern w:val="0"/>
          <w:sz w:val="22"/>
          <w:shd w:val="pct15" w:color="auto" w:fill="FFFFFF"/>
        </w:rPr>
      </w:pPr>
      <w:r>
        <w:rPr>
          <w:rFonts w:eastAsia="標楷體" w:cs="Calibri"/>
          <w:kern w:val="0"/>
          <w:sz w:val="22"/>
          <w:shd w:val="pct15" w:color="auto" w:fill="FFFFFF"/>
        </w:rPr>
        <w:t>(</w:t>
      </w:r>
      <w:r>
        <w:rPr>
          <w:rFonts w:eastAsia="標楷體" w:cs="Calibri" w:hint="eastAsia"/>
          <w:kern w:val="0"/>
          <w:sz w:val="22"/>
          <w:shd w:val="pct15" w:color="auto" w:fill="FFFFFF"/>
        </w:rPr>
        <w:t>三</w:t>
      </w:r>
      <w:r>
        <w:rPr>
          <w:rFonts w:eastAsia="標楷體" w:cs="Calibri"/>
          <w:kern w:val="0"/>
          <w:sz w:val="22"/>
          <w:shd w:val="pct15" w:color="auto" w:fill="FFFFFF"/>
        </w:rPr>
        <w:t>)</w:t>
      </w:r>
      <w:r>
        <w:rPr>
          <w:rFonts w:eastAsia="標楷體" w:cs="Calibri" w:hint="eastAsia"/>
          <w:kern w:val="0"/>
          <w:sz w:val="22"/>
          <w:shd w:val="pct15" w:color="auto" w:fill="FFFFFF"/>
        </w:rPr>
        <w:t>培育學生成為現代化之休閒產業經營管理者。</w:t>
      </w:r>
    </w:p>
    <w:p w:rsidR="0018649F" w:rsidRDefault="0018649F" w:rsidP="0018649F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rPr>
          <w:rFonts w:eastAsia="標楷體" w:cs="Calibri"/>
          <w:b/>
          <w:bCs/>
          <w:kern w:val="0"/>
          <w:sz w:val="22"/>
        </w:rPr>
      </w:pPr>
      <w:r>
        <w:rPr>
          <w:rFonts w:eastAsia="標楷體" w:cs="Calibri" w:hint="eastAsia"/>
          <w:b/>
          <w:bCs/>
          <w:kern w:val="0"/>
          <w:sz w:val="22"/>
        </w:rPr>
        <w:t>核心能力</w:t>
      </w:r>
    </w:p>
    <w:p w:rsidR="0018649F" w:rsidRDefault="0018649F" w:rsidP="0018649F">
      <w:pPr>
        <w:widowControl/>
        <w:shd w:val="clear" w:color="auto" w:fill="FFFFFF"/>
        <w:snapToGrid w:val="0"/>
        <w:ind w:firstLine="480"/>
        <w:jc w:val="both"/>
        <w:rPr>
          <w:rFonts w:eastAsia="標楷體"/>
          <w:kern w:val="0"/>
          <w:sz w:val="22"/>
          <w:szCs w:val="22"/>
        </w:rPr>
      </w:pPr>
      <w:r>
        <w:rPr>
          <w:rFonts w:eastAsia="標楷體" w:hint="eastAsia"/>
          <w:kern w:val="0"/>
          <w:sz w:val="22"/>
          <w:szCs w:val="22"/>
        </w:rPr>
        <w:t>為培養休閒事業管理相關人才，本碩士專班之課程、教學及學習輔導以培養下列核心能力為目的：</w:t>
      </w:r>
    </w:p>
    <w:p w:rsidR="0018649F" w:rsidRDefault="0018649F" w:rsidP="0018649F">
      <w:pPr>
        <w:tabs>
          <w:tab w:val="left" w:pos="1778"/>
        </w:tabs>
        <w:snapToGrid w:val="0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1.</w:t>
      </w:r>
      <w:r>
        <w:rPr>
          <w:rFonts w:eastAsia="標楷體" w:hint="eastAsia"/>
          <w:sz w:val="22"/>
          <w:szCs w:val="22"/>
        </w:rPr>
        <w:t>休閒事業管理專業知識</w:t>
      </w:r>
    </w:p>
    <w:p w:rsidR="0018649F" w:rsidRDefault="0018649F" w:rsidP="0018649F">
      <w:pPr>
        <w:tabs>
          <w:tab w:val="left" w:pos="1778"/>
        </w:tabs>
        <w:snapToGrid w:val="0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2.</w:t>
      </w:r>
      <w:r>
        <w:rPr>
          <w:rFonts w:eastAsia="標楷體" w:hint="eastAsia"/>
          <w:sz w:val="22"/>
          <w:szCs w:val="22"/>
        </w:rPr>
        <w:t>研究執行與寫作發表能力</w:t>
      </w:r>
    </w:p>
    <w:p w:rsidR="0018649F" w:rsidRDefault="0018649F" w:rsidP="0018649F">
      <w:pPr>
        <w:tabs>
          <w:tab w:val="left" w:pos="1778"/>
        </w:tabs>
        <w:snapToGrid w:val="0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3.</w:t>
      </w:r>
      <w:r>
        <w:rPr>
          <w:rFonts w:eastAsia="標楷體" w:hint="eastAsia"/>
          <w:sz w:val="22"/>
          <w:szCs w:val="22"/>
        </w:rPr>
        <w:t>管理與領導能力</w:t>
      </w:r>
    </w:p>
    <w:p w:rsidR="0018649F" w:rsidRDefault="0018649F" w:rsidP="0018649F">
      <w:pPr>
        <w:tabs>
          <w:tab w:val="left" w:pos="1778"/>
        </w:tabs>
        <w:snapToGrid w:val="0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4.</w:t>
      </w:r>
      <w:r>
        <w:rPr>
          <w:rFonts w:eastAsia="標楷體" w:hint="eastAsia"/>
          <w:sz w:val="22"/>
          <w:szCs w:val="22"/>
        </w:rPr>
        <w:t>問題解決能力</w:t>
      </w:r>
    </w:p>
    <w:p w:rsidR="0018649F" w:rsidRDefault="0018649F" w:rsidP="0018649F">
      <w:pPr>
        <w:tabs>
          <w:tab w:val="left" w:pos="1778"/>
        </w:tabs>
        <w:snapToGrid w:val="0"/>
        <w:ind w:leftChars="200" w:left="48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5.</w:t>
      </w:r>
      <w:r>
        <w:rPr>
          <w:rFonts w:eastAsia="標楷體" w:hint="eastAsia"/>
          <w:sz w:val="22"/>
          <w:szCs w:val="22"/>
        </w:rPr>
        <w:t>創新與創業能力</w:t>
      </w:r>
    </w:p>
    <w:p w:rsidR="0018649F" w:rsidRDefault="0018649F" w:rsidP="0018649F">
      <w:pPr>
        <w:tabs>
          <w:tab w:val="left" w:pos="1778"/>
        </w:tabs>
        <w:snapToGrid w:val="0"/>
        <w:ind w:leftChars="200" w:left="480"/>
        <w:rPr>
          <w:rFonts w:eastAsia="標楷體"/>
          <w:sz w:val="22"/>
          <w:szCs w:val="22"/>
        </w:rPr>
      </w:pPr>
    </w:p>
    <w:p w:rsidR="0018649F" w:rsidRDefault="0018649F" w:rsidP="0018649F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rPr>
          <w:rFonts w:eastAsia="標楷體" w:cs="Calibri"/>
          <w:b/>
          <w:bCs/>
          <w:kern w:val="0"/>
          <w:sz w:val="22"/>
        </w:rPr>
      </w:pPr>
      <w:r>
        <w:rPr>
          <w:rFonts w:eastAsia="標楷體" w:cs="Calibri" w:hint="eastAsia"/>
          <w:b/>
          <w:bCs/>
          <w:kern w:val="0"/>
          <w:sz w:val="22"/>
        </w:rPr>
        <w:t>課程架構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2741"/>
        <w:gridCol w:w="2741"/>
      </w:tblGrid>
      <w:tr w:rsidR="0018649F" w:rsidTr="0018649F">
        <w:trPr>
          <w:trHeight w:val="2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類別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必選修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學分數</w:t>
            </w:r>
          </w:p>
        </w:tc>
      </w:tr>
      <w:tr w:rsidR="0018649F" w:rsidTr="0018649F">
        <w:trPr>
          <w:trHeight w:val="2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核心課程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必修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11</w:t>
            </w:r>
          </w:p>
        </w:tc>
      </w:tr>
      <w:tr w:rsidR="0018649F" w:rsidTr="0018649F">
        <w:trPr>
          <w:trHeight w:val="2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選修課程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選修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17</w:t>
            </w:r>
          </w:p>
        </w:tc>
      </w:tr>
      <w:tr w:rsidR="0018649F" w:rsidTr="0018649F">
        <w:trPr>
          <w:trHeight w:val="2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碩士論文</w:t>
            </w:r>
          </w:p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(</w:t>
            </w:r>
            <w:r>
              <w:rPr>
                <w:rFonts w:eastAsia="標楷體" w:hint="eastAsia"/>
                <w:sz w:val="18"/>
                <w:szCs w:val="22"/>
              </w:rPr>
              <w:t>口試完成後取得學分數</w:t>
            </w:r>
            <w:r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必修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4</w:t>
            </w:r>
          </w:p>
        </w:tc>
      </w:tr>
      <w:tr w:rsidR="0018649F" w:rsidTr="0018649F">
        <w:trPr>
          <w:trHeight w:val="20"/>
          <w:jc w:val="center"/>
        </w:trPr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 w:val="22"/>
                <w:szCs w:val="22"/>
              </w:rPr>
              <w:t>總計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ind w:right="28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32</w:t>
            </w:r>
          </w:p>
        </w:tc>
      </w:tr>
    </w:tbl>
    <w:p w:rsidR="0018649F" w:rsidRDefault="0018649F" w:rsidP="0018649F">
      <w:pPr>
        <w:widowControl/>
        <w:tabs>
          <w:tab w:val="left" w:pos="426"/>
          <w:tab w:val="left" w:pos="567"/>
        </w:tabs>
        <w:snapToGrid w:val="0"/>
        <w:ind w:left="480"/>
        <w:rPr>
          <w:rFonts w:eastAsia="標楷體" w:cs="Calibri"/>
          <w:b/>
          <w:bCs/>
          <w:kern w:val="0"/>
          <w:sz w:val="22"/>
        </w:rPr>
      </w:pPr>
    </w:p>
    <w:p w:rsidR="0018649F" w:rsidRDefault="0018649F" w:rsidP="0018649F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rPr>
          <w:rFonts w:eastAsia="標楷體" w:cs="Calibri"/>
          <w:b/>
          <w:bCs/>
          <w:kern w:val="0"/>
          <w:sz w:val="22"/>
        </w:rPr>
      </w:pPr>
      <w:r>
        <w:rPr>
          <w:rFonts w:eastAsia="標楷體" w:cs="Calibri" w:hint="eastAsia"/>
          <w:b/>
          <w:bCs/>
          <w:kern w:val="0"/>
          <w:sz w:val="22"/>
        </w:rPr>
        <w:t>修業年限及學分</w:t>
      </w:r>
    </w:p>
    <w:p w:rsidR="0018649F" w:rsidRDefault="0018649F" w:rsidP="0018649F">
      <w:pPr>
        <w:snapToGrid w:val="0"/>
        <w:ind w:leftChars="200" w:left="480" w:rightChars="11" w:right="26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（一）修業年限：二～四年</w:t>
      </w:r>
    </w:p>
    <w:p w:rsidR="0018649F" w:rsidRDefault="0018649F" w:rsidP="0018649F">
      <w:pPr>
        <w:snapToGrid w:val="0"/>
        <w:ind w:leftChars="200" w:left="480" w:rightChars="11" w:right="26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（二）學分：總計</w:t>
      </w:r>
      <w:r>
        <w:rPr>
          <w:rFonts w:eastAsia="標楷體"/>
          <w:sz w:val="22"/>
          <w:szCs w:val="22"/>
        </w:rPr>
        <w:t>32</w:t>
      </w:r>
      <w:r>
        <w:rPr>
          <w:rFonts w:eastAsia="標楷體" w:hint="eastAsia"/>
          <w:sz w:val="22"/>
          <w:szCs w:val="22"/>
        </w:rPr>
        <w:t>學分</w:t>
      </w:r>
      <w:r>
        <w:rPr>
          <w:rFonts w:eastAsia="標楷體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含碩士論文</w:t>
      </w:r>
      <w:r>
        <w:rPr>
          <w:rFonts w:eastAsia="標楷體"/>
          <w:sz w:val="22"/>
          <w:szCs w:val="22"/>
        </w:rPr>
        <w:t>)</w:t>
      </w:r>
    </w:p>
    <w:p w:rsidR="0018649F" w:rsidRDefault="0018649F" w:rsidP="0018649F">
      <w:pPr>
        <w:snapToGrid w:val="0"/>
        <w:ind w:leftChars="200" w:left="480" w:rightChars="11" w:right="26"/>
        <w:jc w:val="both"/>
        <w:rPr>
          <w:rFonts w:eastAsia="標楷體"/>
          <w:sz w:val="22"/>
          <w:szCs w:val="22"/>
        </w:rPr>
      </w:pPr>
    </w:p>
    <w:p w:rsidR="0018649F" w:rsidRDefault="0018649F" w:rsidP="0018649F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rPr>
          <w:rFonts w:eastAsia="標楷體" w:cs="Calibri"/>
          <w:b/>
          <w:bCs/>
          <w:kern w:val="0"/>
          <w:sz w:val="22"/>
        </w:rPr>
      </w:pPr>
      <w:r>
        <w:rPr>
          <w:rFonts w:eastAsia="標楷體" w:cs="Calibri" w:hint="eastAsia"/>
          <w:b/>
          <w:bCs/>
          <w:kern w:val="0"/>
          <w:sz w:val="22"/>
        </w:rPr>
        <w:t>選課須知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1.</w:t>
      </w:r>
      <w:r>
        <w:rPr>
          <w:rFonts w:eastAsia="標楷體" w:hint="eastAsia"/>
          <w:kern w:val="0"/>
          <w:sz w:val="22"/>
          <w:szCs w:val="22"/>
        </w:rPr>
        <w:t>必修科目：研究生共同必修科目，總計</w:t>
      </w:r>
      <w:r>
        <w:rPr>
          <w:rFonts w:eastAsia="標楷體"/>
          <w:kern w:val="0"/>
          <w:sz w:val="22"/>
          <w:szCs w:val="22"/>
        </w:rPr>
        <w:t>11</w:t>
      </w:r>
      <w:r>
        <w:rPr>
          <w:rFonts w:eastAsia="標楷體" w:hint="eastAsia"/>
          <w:kern w:val="0"/>
          <w:sz w:val="22"/>
          <w:szCs w:val="22"/>
        </w:rPr>
        <w:t>學分，另學位論文</w:t>
      </w:r>
      <w:r>
        <w:rPr>
          <w:rFonts w:eastAsia="標楷體"/>
          <w:kern w:val="0"/>
          <w:sz w:val="22"/>
          <w:szCs w:val="22"/>
        </w:rPr>
        <w:t>4</w:t>
      </w:r>
      <w:r>
        <w:rPr>
          <w:rFonts w:eastAsia="標楷體" w:hint="eastAsia"/>
          <w:kern w:val="0"/>
          <w:sz w:val="22"/>
          <w:szCs w:val="22"/>
        </w:rPr>
        <w:t>學分，共計</w:t>
      </w:r>
      <w:r>
        <w:rPr>
          <w:rFonts w:eastAsia="標楷體"/>
          <w:kern w:val="0"/>
          <w:sz w:val="22"/>
          <w:szCs w:val="22"/>
        </w:rPr>
        <w:t>15</w:t>
      </w:r>
      <w:r>
        <w:rPr>
          <w:rFonts w:eastAsia="標楷體" w:hint="eastAsia"/>
          <w:kern w:val="0"/>
          <w:sz w:val="22"/>
          <w:szCs w:val="22"/>
        </w:rPr>
        <w:t>學分。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2.</w:t>
      </w:r>
      <w:r>
        <w:rPr>
          <w:rFonts w:eastAsia="標楷體" w:hint="eastAsia"/>
          <w:kern w:val="0"/>
          <w:sz w:val="22"/>
          <w:szCs w:val="22"/>
        </w:rPr>
        <w:t>選修科目：研究生可依得依學校相關規定自由選修，共計</w:t>
      </w:r>
      <w:r>
        <w:rPr>
          <w:rFonts w:eastAsia="標楷體"/>
          <w:kern w:val="0"/>
          <w:sz w:val="22"/>
          <w:szCs w:val="22"/>
        </w:rPr>
        <w:t>17</w:t>
      </w:r>
      <w:r>
        <w:rPr>
          <w:rFonts w:eastAsia="標楷體" w:hint="eastAsia"/>
          <w:kern w:val="0"/>
          <w:sz w:val="22"/>
          <w:szCs w:val="22"/>
        </w:rPr>
        <w:t>學分。跨系（所）自由選修學分可抵專業課程之選修學分，最高不得超過</w:t>
      </w:r>
      <w:r>
        <w:rPr>
          <w:rFonts w:eastAsia="標楷體"/>
          <w:kern w:val="0"/>
          <w:sz w:val="22"/>
          <w:szCs w:val="22"/>
        </w:rPr>
        <w:t>2</w:t>
      </w:r>
      <w:r>
        <w:rPr>
          <w:rFonts w:eastAsia="標楷體" w:hint="eastAsia"/>
          <w:kern w:val="0"/>
          <w:sz w:val="22"/>
          <w:szCs w:val="22"/>
        </w:rPr>
        <w:t>門</w:t>
      </w:r>
      <w:r>
        <w:rPr>
          <w:rFonts w:eastAsia="標楷體"/>
          <w:kern w:val="0"/>
          <w:sz w:val="22"/>
          <w:szCs w:val="22"/>
        </w:rPr>
        <w:t>6</w:t>
      </w:r>
      <w:r>
        <w:rPr>
          <w:rFonts w:eastAsia="標楷體" w:hint="eastAsia"/>
          <w:kern w:val="0"/>
          <w:sz w:val="22"/>
          <w:szCs w:val="22"/>
        </w:rPr>
        <w:t>學分。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3.</w:t>
      </w:r>
      <w:r>
        <w:rPr>
          <w:rFonts w:eastAsia="標楷體" w:hint="eastAsia"/>
          <w:kern w:val="0"/>
          <w:sz w:val="22"/>
          <w:szCs w:val="22"/>
        </w:rPr>
        <w:t>本在職專班研究生在學期間須參與校內外學術研討會至少一次以上。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4.</w:t>
      </w:r>
      <w:r>
        <w:rPr>
          <w:rFonts w:eastAsia="標楷體" w:hint="eastAsia"/>
          <w:kern w:val="0"/>
          <w:sz w:val="22"/>
          <w:szCs w:val="22"/>
        </w:rPr>
        <w:t>研究生畢業前須撰寫休閒事業管理相關領域文章一篇，在研討會、期刊雜誌、學報或論壇等公開發表。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5.</w:t>
      </w:r>
      <w:r>
        <w:rPr>
          <w:rFonts w:eastAsia="標楷體" w:hint="eastAsia"/>
          <w:kern w:val="0"/>
          <w:sz w:val="22"/>
          <w:szCs w:val="22"/>
        </w:rPr>
        <w:t>研究生必須在一年級下學期開學一個月內，填妥「研究生論文意向調查表」與導師或院長協商，並於一年級下學期結束前，填妥「研究生論文指導教授同意書」徵得指導教授同意，經核章後分送師範學院辦公室及進修部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6.</w:t>
      </w:r>
      <w:r>
        <w:rPr>
          <w:rFonts w:eastAsia="標楷體" w:hint="eastAsia"/>
          <w:kern w:val="0"/>
          <w:sz w:val="22"/>
          <w:szCs w:val="22"/>
        </w:rPr>
        <w:t>學位論文指導教授須由本校專、兼任助理教授以上教師擔任。若本校無適當教授指導時，得聘請校外助理教授以上教師擔任，但本校應有一位指導教授協同校外指導教授共同指導。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lastRenderedPageBreak/>
        <w:t>7.</w:t>
      </w:r>
      <w:r>
        <w:rPr>
          <w:rFonts w:eastAsia="標楷體" w:hint="eastAsia"/>
          <w:kern w:val="0"/>
          <w:sz w:val="22"/>
          <w:szCs w:val="22"/>
        </w:rPr>
        <w:t>研究生欲提學位論文考試，需於前一學期提出「學位論文計畫審核」申請，申請表必須在審核日的二週前，送至院辦公室。提出申請時由指導教授審查，研究生在學期間是否發表一篇以上期刊或研討會論文。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8.</w:t>
      </w:r>
      <w:r>
        <w:rPr>
          <w:rFonts w:eastAsia="標楷體" w:hint="eastAsia"/>
          <w:kern w:val="0"/>
          <w:sz w:val="22"/>
          <w:szCs w:val="22"/>
        </w:rPr>
        <w:t>學位論文計畫須經審查，經口試委員會認可後，始得進行學位論文之撰寫。論文計畫發表後三個月以上並隔學期，始得申請學位論文考試。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  <w:r>
        <w:rPr>
          <w:rFonts w:eastAsia="標楷體"/>
          <w:kern w:val="0"/>
          <w:sz w:val="22"/>
          <w:szCs w:val="22"/>
        </w:rPr>
        <w:t>9.</w:t>
      </w:r>
      <w:r w:rsidR="00D0640E" w:rsidRPr="004343FF">
        <w:rPr>
          <w:rFonts w:eastAsia="標楷體" w:hint="eastAsia"/>
          <w:bCs/>
          <w:color w:val="FF0000"/>
          <w:u w:val="single"/>
        </w:rPr>
        <w:t>學術研究倫理教育課程為必修，學分數為</w:t>
      </w:r>
      <w:r w:rsidR="00D0640E" w:rsidRPr="004343FF">
        <w:rPr>
          <w:rFonts w:eastAsia="標楷體" w:hint="eastAsia"/>
          <w:bCs/>
          <w:color w:val="FF0000"/>
          <w:u w:val="single"/>
        </w:rPr>
        <w:t>0</w:t>
      </w:r>
      <w:r w:rsidR="00D0640E" w:rsidRPr="004343FF">
        <w:rPr>
          <w:rFonts w:eastAsia="標楷體" w:hint="eastAsia"/>
          <w:bCs/>
          <w:color w:val="FF0000"/>
          <w:u w:val="single"/>
        </w:rPr>
        <w:t>學分，學生須於學位論文計畫審核前至「臺灣學術倫理教育資源中心」線上平臺修習指定課程，並通過課程總測驗成績及格標準，即可線上取得修課證明。</w:t>
      </w:r>
    </w:p>
    <w:p w:rsidR="0018649F" w:rsidRDefault="0018649F" w:rsidP="0018649F">
      <w:pPr>
        <w:widowControl/>
        <w:snapToGrid w:val="0"/>
        <w:ind w:leftChars="199" w:left="707" w:hangingChars="104" w:hanging="229"/>
        <w:rPr>
          <w:rFonts w:eastAsia="標楷體"/>
          <w:kern w:val="0"/>
          <w:sz w:val="22"/>
          <w:szCs w:val="22"/>
        </w:rPr>
      </w:pPr>
    </w:p>
    <w:p w:rsidR="0018649F" w:rsidRDefault="0018649F" w:rsidP="0018649F">
      <w:pPr>
        <w:widowControl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240" w:lineRule="exact"/>
        <w:rPr>
          <w:rFonts w:eastAsia="標楷體" w:cs="Calibri"/>
          <w:b/>
          <w:bCs/>
          <w:kern w:val="0"/>
          <w:sz w:val="22"/>
        </w:rPr>
      </w:pPr>
      <w:r>
        <w:rPr>
          <w:rFonts w:eastAsia="標楷體" w:cs="Calibri" w:hint="eastAsia"/>
          <w:b/>
          <w:bCs/>
          <w:kern w:val="0"/>
          <w:sz w:val="22"/>
        </w:rPr>
        <w:t>課程規劃</w:t>
      </w:r>
    </w:p>
    <w:p w:rsidR="0018649F" w:rsidRDefault="0018649F" w:rsidP="0018649F">
      <w:pPr>
        <w:snapToGrid w:val="0"/>
        <w:ind w:firstLineChars="200" w:firstLine="44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本班的課程結構，區分為核心課程（必修）、學群課程（選修）二大類。核心課程是研究生進入本班界定的知識場域之理論與方法基礎，學群課程則兼顧研究生興趣和教授專長，得有適度的展延和著重。</w:t>
      </w:r>
    </w:p>
    <w:p w:rsidR="0018649F" w:rsidRDefault="0018649F" w:rsidP="0018649F">
      <w:pPr>
        <w:jc w:val="both"/>
        <w:rPr>
          <w:rFonts w:eastAsia="標楷體"/>
          <w:sz w:val="22"/>
          <w:szCs w:val="22"/>
        </w:rPr>
      </w:pPr>
      <w:r>
        <w:rPr>
          <w:rFonts w:ascii="新細明體" w:hAnsi="新細明體" w:cs="新細明體" w:hint="eastAsia"/>
          <w:sz w:val="22"/>
          <w:szCs w:val="22"/>
        </w:rPr>
        <w:t>※</w:t>
      </w:r>
      <w:r>
        <w:rPr>
          <w:rFonts w:eastAsia="標楷體" w:hint="eastAsia"/>
          <w:sz w:val="22"/>
          <w:szCs w:val="22"/>
        </w:rPr>
        <w:t>詳細課程規劃內容如下表：</w:t>
      </w:r>
    </w:p>
    <w:p w:rsidR="0018649F" w:rsidRDefault="0018649F" w:rsidP="0018649F">
      <w:pPr>
        <w:jc w:val="both"/>
        <w:rPr>
          <w:rFonts w:eastAsia="標楷體"/>
          <w:sz w:val="22"/>
          <w:szCs w:val="22"/>
        </w:rPr>
      </w:pPr>
    </w:p>
    <w:tbl>
      <w:tblPr>
        <w:tblW w:w="10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8"/>
        <w:gridCol w:w="368"/>
        <w:gridCol w:w="2280"/>
        <w:gridCol w:w="1486"/>
        <w:gridCol w:w="792"/>
        <w:gridCol w:w="538"/>
        <w:gridCol w:w="437"/>
        <w:gridCol w:w="836"/>
        <w:gridCol w:w="2245"/>
        <w:gridCol w:w="950"/>
      </w:tblGrid>
      <w:tr w:rsidR="0018649F" w:rsidTr="0018649F">
        <w:trPr>
          <w:trHeight w:val="20"/>
          <w:tblHeader/>
          <w:jc w:val="center"/>
        </w:trPr>
        <w:tc>
          <w:tcPr>
            <w:tcW w:w="6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類別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課程名稱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必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選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</w:rPr>
              <w:t>修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學分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時數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授課</w:t>
            </w:r>
          </w:p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年級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英文名稱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備註</w:t>
            </w: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核心課程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休閒遊憩理論研究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EDC61D00A001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碩一上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Leisure and Recreation Theory Research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10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休閒事業管理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EDC61D00A002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碩一上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Leisure Business Management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10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研究方法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EDC61D00A003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碩一上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Method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10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論文寫作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EDC61D00A004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Writing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10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質性研究方法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  <w:shd w:val="pct15" w:color="auto" w:fill="FFFFFF"/>
              </w:rPr>
              <w:t>Qualitative Research Methods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16"/>
                <w:szCs w:val="20"/>
                <w:shd w:val="pct15" w:color="auto" w:fill="FFFFFF"/>
              </w:rPr>
            </w:pPr>
            <w:r>
              <w:rPr>
                <w:sz w:val="16"/>
                <w:szCs w:val="20"/>
                <w:shd w:val="pct15" w:color="auto" w:fill="FFFFFF"/>
              </w:rPr>
              <w:t>104-1</w:t>
            </w:r>
            <w:r>
              <w:rPr>
                <w:rFonts w:hint="eastAsia"/>
                <w:sz w:val="16"/>
                <w:szCs w:val="20"/>
                <w:shd w:val="pct15" w:color="auto" w:fill="FFFFFF"/>
              </w:rPr>
              <w:t>新增</w:t>
            </w:r>
          </w:p>
        </w:tc>
      </w:tr>
      <w:tr w:rsidR="0018649F" w:rsidTr="0018649F">
        <w:trPr>
          <w:trHeight w:val="20"/>
          <w:jc w:val="center"/>
        </w:trPr>
        <w:tc>
          <w:tcPr>
            <w:tcW w:w="103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統計分析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20"/>
                <w:szCs w:val="20"/>
                <w:shd w:val="pct15" w:color="auto" w:fill="FFFFFF"/>
              </w:rPr>
            </w:pPr>
            <w:r>
              <w:rPr>
                <w:sz w:val="20"/>
                <w:szCs w:val="20"/>
                <w:shd w:val="pct15" w:color="auto" w:fill="FFFFFF"/>
              </w:rPr>
              <w:t xml:space="preserve">Statistical Analysis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16"/>
                <w:szCs w:val="20"/>
                <w:shd w:val="pct15" w:color="auto" w:fill="FFFFFF"/>
              </w:rPr>
            </w:pPr>
            <w:r>
              <w:rPr>
                <w:sz w:val="16"/>
                <w:szCs w:val="20"/>
                <w:shd w:val="pct15" w:color="auto" w:fill="FFFFFF"/>
              </w:rPr>
              <w:t>104-1</w:t>
            </w:r>
            <w:r>
              <w:rPr>
                <w:rFonts w:hint="eastAsia"/>
                <w:sz w:val="16"/>
                <w:szCs w:val="20"/>
                <w:shd w:val="pct15" w:color="auto" w:fill="FFFFFF"/>
              </w:rPr>
              <w:t>新增</w:t>
            </w:r>
          </w:p>
        </w:tc>
      </w:tr>
      <w:tr w:rsidR="0018649F" w:rsidTr="0018649F">
        <w:trPr>
          <w:cantSplit/>
          <w:trHeight w:val="610"/>
          <w:jc w:val="center"/>
        </w:trPr>
        <w:tc>
          <w:tcPr>
            <w:tcW w:w="6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ind w:lef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碩士</w:t>
            </w:r>
          </w:p>
          <w:p w:rsidR="0018649F" w:rsidRDefault="0018649F">
            <w:pPr>
              <w:snapToGrid w:val="0"/>
              <w:spacing w:line="240" w:lineRule="exact"/>
              <w:ind w:lef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論文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碩士論文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EDC61D00A005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碩二下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Thesis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8649F" w:rsidRDefault="0018649F">
            <w:pPr>
              <w:widowControl/>
              <w:snapToGrid w:val="0"/>
              <w:spacing w:line="200" w:lineRule="exact"/>
              <w:rPr>
                <w:sz w:val="16"/>
                <w:szCs w:val="20"/>
                <w:shd w:val="pct15" w:color="auto" w:fill="FFFFFF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2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修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課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程</w:t>
            </w:r>
          </w:p>
        </w:tc>
        <w:tc>
          <w:tcPr>
            <w:tcW w:w="3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休閒服務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休閒心理與行為研究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Psychology and Behavior Study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休閒產業電子商務應用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Industry Electronic Commerce Application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休閒與環境教育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Recreation and Environmental Education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休閒服務品質管理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Service Quality Management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休閒活動與健康促進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Activity and Health Promotion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休閒消費行為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consumer Behavior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餐旅產業專題討論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Seminar on Sport, Leisure and Hospitality Management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休閒規劃與管理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休閒產業組織與管理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Organization and Management in Leisure Industry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休閒事業行銷管理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Marketing management and Leisure Industry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休閒環境規劃設計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Environment Planning and Design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生態旅遊研究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Ecotourism Research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休閒農業規劃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Planning of Leisure Farming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休閒資源規劃管理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Resources Planning and Management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遊憩課程規劃與管理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Recreation Tour Planning and management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鄉村休閒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Rural Leisure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地理資訊系統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Geographic Information System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休閒事業個案研討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EDC62D00A027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Case Studies in Leisure Business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  <w:r>
              <w:rPr>
                <w:sz w:val="16"/>
                <w:szCs w:val="20"/>
                <w:shd w:val="pct15" w:color="auto" w:fill="FFFFFF"/>
              </w:rPr>
              <w:t>104-1</w:t>
            </w:r>
            <w:r>
              <w:rPr>
                <w:rFonts w:hint="eastAsia"/>
                <w:sz w:val="16"/>
                <w:szCs w:val="20"/>
                <w:shd w:val="pct15" w:color="auto" w:fill="FFFFFF"/>
              </w:rPr>
              <w:t>新增</w:t>
            </w: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649F" w:rsidRDefault="0018649F">
            <w:pPr>
              <w:snapToGrid w:val="0"/>
              <w:spacing w:line="28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產業加值與升級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節慶與文化觀光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Festival and Cultural Tourism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社會變遷與休閒發展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Social Change and Leisure Development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休閒產業經營分析與診斷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碩一下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Industry Management Analysis and Diagnosis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休閒事業投資與開發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Leisure Business Plan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休閒產業專題研究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碩二上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Special Topics Research in Leisure Industry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休閒產業趨勢研究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Studies on Trend of Leisure Industry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16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社區營造與休閒產業發展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EDC62D00A008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The  Community Development and Development of Leisure Industry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18649F" w:rsidTr="0018649F">
        <w:trPr>
          <w:trHeight w:val="20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6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休閒政策與法令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EDC62D00A015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碩二下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Policy and Legislation in Recreation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49F" w:rsidRDefault="0018649F">
            <w:pPr>
              <w:widowControl/>
              <w:snapToGrid w:val="0"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6D3288" w:rsidRPr="0018649F" w:rsidRDefault="006D3288"/>
    <w:sectPr w:rsidR="006D3288" w:rsidRPr="001864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44" w:rsidRDefault="00FA7644" w:rsidP="00D0640E">
      <w:r>
        <w:separator/>
      </w:r>
    </w:p>
  </w:endnote>
  <w:endnote w:type="continuationSeparator" w:id="0">
    <w:p w:rsidR="00FA7644" w:rsidRDefault="00FA7644" w:rsidP="00D0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44" w:rsidRDefault="00FA7644" w:rsidP="00D0640E">
      <w:r>
        <w:separator/>
      </w:r>
    </w:p>
  </w:footnote>
  <w:footnote w:type="continuationSeparator" w:id="0">
    <w:p w:rsidR="00FA7644" w:rsidRDefault="00FA7644" w:rsidP="00D0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F0C1A"/>
    <w:multiLevelType w:val="hybridMultilevel"/>
    <w:tmpl w:val="26B8E2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9F"/>
    <w:rsid w:val="0018649F"/>
    <w:rsid w:val="00202D7B"/>
    <w:rsid w:val="003704FA"/>
    <w:rsid w:val="00436591"/>
    <w:rsid w:val="004A634E"/>
    <w:rsid w:val="005074BB"/>
    <w:rsid w:val="006D3288"/>
    <w:rsid w:val="00C65DFE"/>
    <w:rsid w:val="00D0640E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BB731-8E87-4C57-9350-035FA0D7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4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4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user20151020</dc:creator>
  <cp:lastModifiedBy>admin</cp:lastModifiedBy>
  <cp:revision>6</cp:revision>
  <dcterms:created xsi:type="dcterms:W3CDTF">2016-03-29T10:14:00Z</dcterms:created>
  <dcterms:modified xsi:type="dcterms:W3CDTF">2017-06-30T07:19:00Z</dcterms:modified>
</cp:coreProperties>
</file>